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73FF7" w14:textId="27ED7A7F" w:rsidR="00D01CF8" w:rsidRPr="00DD43C4" w:rsidRDefault="00956070" w:rsidP="00506098">
      <w:pPr>
        <w:ind w:left="122" w:right="74"/>
        <w:jc w:val="center"/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Ane</w:t>
      </w:r>
      <w:bookmarkStart w:id="0" w:name="_GoBack"/>
      <w:bookmarkEnd w:id="0"/>
      <w:r w:rsidRPr="00DD43C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xo 1</w:t>
      </w:r>
      <w:r w:rsidR="00DD74C8" w:rsidRPr="00DD43C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7</w:t>
      </w:r>
    </w:p>
    <w:p w14:paraId="7CF24B14" w14:textId="7637479B" w:rsidR="00956070" w:rsidRPr="00DD43C4" w:rsidRDefault="00956070" w:rsidP="00506098">
      <w:pPr>
        <w:ind w:left="122" w:right="74"/>
        <w:jc w:val="center"/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</w:pPr>
    </w:p>
    <w:p w14:paraId="41C30390" w14:textId="769881C8" w:rsidR="00956070" w:rsidRPr="00DD43C4" w:rsidRDefault="00956070" w:rsidP="00506098">
      <w:pPr>
        <w:ind w:left="125" w:right="74"/>
        <w:jc w:val="center"/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Experiencia y Especialidad</w:t>
      </w:r>
    </w:p>
    <w:p w14:paraId="2513C581" w14:textId="454CBFF4" w:rsidR="00506098" w:rsidRPr="00DD43C4" w:rsidRDefault="00506098" w:rsidP="00506098">
      <w:pPr>
        <w:ind w:left="125" w:right="74"/>
        <w:jc w:val="center"/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y</w:t>
      </w:r>
    </w:p>
    <w:p w14:paraId="44E9E424" w14:textId="7E79FBD6" w:rsidR="00506098" w:rsidRPr="00DD43C4" w:rsidRDefault="00506098" w:rsidP="00506098">
      <w:pPr>
        <w:ind w:left="125" w:right="74"/>
        <w:jc w:val="center"/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Cumplimiento de Contratos</w:t>
      </w:r>
    </w:p>
    <w:p w14:paraId="30233A19" w14:textId="4CAC6784" w:rsidR="00956070" w:rsidRPr="00DD43C4" w:rsidRDefault="00956070" w:rsidP="00506098">
      <w:pPr>
        <w:ind w:left="125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30D8BCFB" w14:textId="70A75F51" w:rsidR="00EC03AE" w:rsidRDefault="00506098" w:rsidP="00506098">
      <w:pPr>
        <w:ind w:left="125" w:right="4"/>
        <w:jc w:val="both"/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El presente Anexo </w:t>
      </w:r>
      <w:r w:rsidR="00EC03AE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establece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los requisitos que deberá</w:t>
      </w:r>
      <w:r w:rsidR="00EC03AE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n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acreditarse para calificar </w:t>
      </w:r>
      <w:r w:rsidR="007C7C9F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los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Rubro</w:t>
      </w:r>
      <w:r w:rsidR="007C7C9F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s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Experiencia y Especialidad </w:t>
      </w:r>
      <w:r w:rsidR="007C7C9F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y de Cumplimiento de Contratos </w:t>
      </w:r>
      <w:r w:rsidR="002920C9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establecidos </w:t>
      </w:r>
      <w:r w:rsidR="00EC03AE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el 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Anexo 1</w:t>
      </w:r>
      <w:r w:rsidR="00217E32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2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“Matriz de Evaluación por Puntos”. </w:t>
      </w:r>
    </w:p>
    <w:p w14:paraId="16F9BD69" w14:textId="77777777" w:rsidR="00EC03AE" w:rsidRDefault="00EC03AE" w:rsidP="00506098">
      <w:pPr>
        <w:ind w:left="125" w:right="4"/>
        <w:jc w:val="both"/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</w:pPr>
    </w:p>
    <w:p w14:paraId="5F5087FE" w14:textId="3B7768F1" w:rsidR="00EC03AE" w:rsidRDefault="00EC03AE" w:rsidP="00506098">
      <w:pPr>
        <w:ind w:left="125" w:right="4"/>
        <w:jc w:val="both"/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</w:pP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La información contenida en los contratos</w:t>
      </w:r>
      <w:r w:rsidR="00EE2DCE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, pedidos, órdenes de compra, que acrediten las obligaciones entre las partes, </w:t>
      </w: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con la que se acrediten los criterios de calificación deberá identificarse utilizando cualquier marcador con el que se resalte dicho criterio de acreditación</w:t>
      </w:r>
      <w:r w:rsidR="002920C9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. Se sugiere utilizar </w:t>
      </w: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marcador fluorescente.</w:t>
      </w:r>
    </w:p>
    <w:p w14:paraId="10F16B86" w14:textId="77777777" w:rsidR="00EC03AE" w:rsidRDefault="00EC03AE" w:rsidP="00506098">
      <w:pPr>
        <w:ind w:left="125" w:right="4"/>
        <w:jc w:val="both"/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</w:pPr>
    </w:p>
    <w:p w14:paraId="6F015F8D" w14:textId="4D7363A2" w:rsidR="00755C31" w:rsidRDefault="00EC03AE" w:rsidP="00506098">
      <w:pPr>
        <w:ind w:left="125" w:right="4"/>
        <w:jc w:val="both"/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</w:pP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Con la información que derive de los contratos</w:t>
      </w:r>
      <w:r w:rsidR="00EE2DCE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, pedidos, órdenes de compra, que acrediten las obligaciones entre las partes</w:t>
      </w: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que </w:t>
      </w:r>
      <w:r w:rsidR="00755C31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se </w:t>
      </w: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presente</w:t>
      </w:r>
      <w:r w:rsidR="00755C31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n</w:t>
      </w: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, </w:t>
      </w:r>
      <w:r w:rsidR="00506098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el lic</w:t>
      </w:r>
      <w:r w:rsidR="006E5E21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itante deberá utilizar el Anexo</w:t>
      </w:r>
      <w:r w:rsidR="00506098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1</w:t>
      </w:r>
      <w:r w:rsidR="007C7C9F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7</w:t>
      </w:r>
      <w:r w:rsidR="00506098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Bis</w:t>
      </w:r>
      <w:r w:rsidR="00755C31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para reportarla</w:t>
      </w: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, identificando </w:t>
      </w:r>
      <w:r w:rsidR="00755C31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y señalando l</w:t>
      </w:r>
      <w:r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os criterios de calificación </w:t>
      </w:r>
      <w:r w:rsidR="00755C31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que somete a evaluación de la convocante parar determinar su acreditación.</w:t>
      </w:r>
    </w:p>
    <w:p w14:paraId="12F902D9" w14:textId="77777777" w:rsidR="00755C31" w:rsidRDefault="00755C31" w:rsidP="00506098">
      <w:pPr>
        <w:ind w:left="125" w:right="4"/>
        <w:jc w:val="both"/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</w:pPr>
    </w:p>
    <w:p w14:paraId="0F1CDABC" w14:textId="5CE732B3" w:rsidR="007B68C2" w:rsidRPr="00DD43C4" w:rsidRDefault="007B68C2" w:rsidP="007D1C7A">
      <w:pPr>
        <w:ind w:left="122" w:right="4"/>
        <w:jc w:val="both"/>
        <w:rPr>
          <w:rFonts w:asciiTheme="minorHAnsi" w:eastAsia="Arial Narrow" w:hAnsiTheme="minorHAnsi" w:cstheme="minorHAnsi"/>
          <w:b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b/>
          <w:spacing w:val="1"/>
          <w:sz w:val="24"/>
          <w:szCs w:val="24"/>
          <w:lang w:val="es-MX"/>
        </w:rPr>
        <w:t>RUBRO: EXPERIENCIA Y ESPECIALIDAD</w:t>
      </w:r>
    </w:p>
    <w:p w14:paraId="2C201DCD" w14:textId="77777777" w:rsidR="007B68C2" w:rsidRPr="00DD43C4" w:rsidRDefault="007B68C2" w:rsidP="007D1C7A">
      <w:pPr>
        <w:ind w:left="122" w:right="4"/>
        <w:jc w:val="both"/>
        <w:rPr>
          <w:rFonts w:asciiTheme="minorHAnsi" w:eastAsia="Arial Narrow" w:hAnsiTheme="minorHAnsi" w:cstheme="minorHAnsi"/>
          <w:b/>
          <w:spacing w:val="1"/>
          <w:sz w:val="24"/>
          <w:szCs w:val="24"/>
          <w:lang w:val="es-MX"/>
        </w:rPr>
      </w:pPr>
    </w:p>
    <w:p w14:paraId="6724165D" w14:textId="2A487E6B" w:rsidR="007B68C2" w:rsidRPr="00DD43C4" w:rsidRDefault="007B68C2" w:rsidP="007D1C7A">
      <w:pPr>
        <w:ind w:left="122" w:right="4"/>
        <w:jc w:val="both"/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En el Anexo </w:t>
      </w:r>
      <w:r w:rsidR="00F642E4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1</w:t>
      </w:r>
      <w:r w:rsidR="00217E32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2</w:t>
      </w:r>
      <w:r w:rsidR="00F642E4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“Matriz de Evaluación por Puntos” se solicita la acreditación de Experiencia y Especialidad</w:t>
      </w:r>
      <w:r w:rsidR="001D6AB1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del licitante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. Para acreditar dichos requisitos, a </w:t>
      </w:r>
      <w:r w:rsidR="00873265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continuación,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 se presentan los criterios a considerar para </w:t>
      </w:r>
      <w:r w:rsidR="007D1C7A"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 xml:space="preserve">la asignación del </w:t>
      </w:r>
      <w:r w:rsidRPr="00DD43C4">
        <w:rPr>
          <w:rFonts w:asciiTheme="minorHAnsi" w:eastAsia="Arial Narrow" w:hAnsiTheme="minorHAnsi" w:cstheme="minorHAnsi"/>
          <w:bCs/>
          <w:spacing w:val="1"/>
          <w:sz w:val="24"/>
          <w:szCs w:val="24"/>
          <w:lang w:val="es-MX"/>
        </w:rPr>
        <w:t>puntaje en cada caso.</w:t>
      </w:r>
    </w:p>
    <w:p w14:paraId="7AB20C5C" w14:textId="6679F50E" w:rsidR="00956070" w:rsidRPr="00DD43C4" w:rsidRDefault="00956070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6689F3D6" w14:textId="34052A13" w:rsidR="00D01CF8" w:rsidRPr="00AB372D" w:rsidRDefault="00D01CF8" w:rsidP="007D1C7A">
      <w:pPr>
        <w:pStyle w:val="Prrafodelista"/>
        <w:numPr>
          <w:ilvl w:val="0"/>
          <w:numId w:val="3"/>
        </w:numPr>
        <w:ind w:left="122" w:right="74" w:firstLine="0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DD43C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Para acreditar </w:t>
      </w:r>
      <w:r w:rsidRPr="00DD43C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EXPERIENCIA (10 contratos máximo)</w:t>
      </w:r>
      <w:r w:rsidRPr="00DD43C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, el licitante deberá presentar contratos, convenios, pedidos u ordenes de trabajo o </w:t>
      </w: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servicio formalizados, vigentes o concluidos, los cuales deberán ser adjuntados en copia simple. Estos convenios o contratos </w:t>
      </w:r>
      <w:r w:rsidR="00AB372D"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podrán</w:t>
      </w: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haber sido celebrados con </w:t>
      </w:r>
      <w:r w:rsidR="008F265D"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entidades públicas o privadas.</w:t>
      </w: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Se podrán añadir los anexos técnicos o cualquier otro documento que se considere necesario para verificar que el objeto del contrato es </w:t>
      </w:r>
      <w:r w:rsidR="00B27DE1" w:rsidRPr="006C1A90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SIMILAR</w:t>
      </w: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al objeto requerido por este Concurso. </w:t>
      </w:r>
    </w:p>
    <w:p w14:paraId="65684D00" w14:textId="77777777" w:rsidR="00D01CF8" w:rsidRPr="00AB372D" w:rsidRDefault="00D01CF8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542121E1" w14:textId="7FBF557E" w:rsidR="0062454F" w:rsidRPr="00913384" w:rsidRDefault="00D01CF8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evaluará la </w:t>
      </w:r>
      <w:r w:rsidRPr="002920C9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acreditación de</w:t>
      </w:r>
      <w:r w:rsidR="002920C9" w:rsidRPr="002920C9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</w:t>
      </w:r>
      <w:r w:rsidRPr="002920C9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tiempo</w:t>
      </w: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que el Licitante ha prestado servicios</w:t>
      </w:r>
      <w:r w:rsidR="007D1C7A"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o ejecutado </w:t>
      </w:r>
      <w:r w:rsidR="007D1C7A" w:rsidRPr="00AB372D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PROYECTOS</w:t>
      </w: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FF71E4" w:rsidRPr="00AB372D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SIMILARES</w:t>
      </w:r>
      <w:r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a los requeridos en el presente procedimiento de contratación, para estos efectos </w:t>
      </w:r>
      <w:r w:rsidR="006C1A90" w:rsidRPr="00AB372D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el objeto de </w:t>
      </w:r>
      <w:r w:rsidR="006C1A90" w:rsidRPr="00AB372D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los contratos deberá</w:t>
      </w:r>
      <w:r w:rsidR="006C1A90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</w:t>
      </w:r>
      <w:r w:rsidR="008844A7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ser análogo a </w:t>
      </w:r>
      <w:r w:rsidR="00217E32" w:rsidRPr="00AB372D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proyectos de diseño, suministro o instalación o puesta en marcha de equipos para canales de televisión y/o </w:t>
      </w:r>
      <w:r w:rsidR="0042423A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proyectos de </w:t>
      </w:r>
      <w:r w:rsidR="0062454F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i</w:t>
      </w:r>
      <w:r w:rsidR="0062454F" w:rsidRPr="0062454F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ntegración, suministro, instalación, configuración y puesta en marcha de equipos para Unidad</w:t>
      </w:r>
      <w:r w:rsidR="0062454F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es</w:t>
      </w:r>
      <w:r w:rsidR="0062454F" w:rsidRPr="0062454F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Móvil</w:t>
      </w:r>
      <w:r w:rsidR="0062454F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es</w:t>
      </w:r>
      <w:r w:rsidR="0062454F" w:rsidRPr="0062454F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de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Televisión en formato Full HD.</w:t>
      </w:r>
      <w:r w:rsidR="00EE2DCE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</w:t>
      </w:r>
      <w:r w:rsidR="00EE2DC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Para la </w:t>
      </w:r>
      <w:r w:rsidR="00EE2DCE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acreditación de tiempo</w:t>
      </w:r>
      <w:r w:rsidR="00EE2DC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en el que el Licitante ha prestado servicios o ejecutado </w:t>
      </w:r>
      <w:r w:rsidR="00EE2DCE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PROYECTOS</w:t>
      </w:r>
      <w:r w:rsidR="00EE2DC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EE2DCE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SIMILARES</w:t>
      </w:r>
      <w:r w:rsidR="00EE2DC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, se contará como plazo de ejecución el tiempo con el que el licitante a través del instrumento contractual se obligue con su cliente a brindar mantenimientos </w:t>
      </w:r>
      <w:r w:rsidR="00EE2DC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lastRenderedPageBreak/>
        <w:t>preventivos</w:t>
      </w:r>
      <w:r w:rsidR="00BB2EAA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, </w:t>
      </w:r>
      <w:r w:rsidR="00EE2DC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correctivos</w:t>
      </w:r>
      <w:r w:rsidR="00BB2EAA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sea a través de garantías u otro instrumento</w:t>
      </w:r>
      <w:r w:rsidR="00EE2DC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, con independencia de la fecha de la entrega real de los bienes.</w:t>
      </w:r>
    </w:p>
    <w:p w14:paraId="2552E949" w14:textId="77777777" w:rsidR="0062454F" w:rsidRPr="00913384" w:rsidRDefault="0062454F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1DECA65C" w14:textId="77777777" w:rsidR="00D01CF8" w:rsidRPr="00913384" w:rsidRDefault="00D01CF8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Con los contratos presentados deberá acreditar lo siguiente:</w:t>
      </w:r>
    </w:p>
    <w:p w14:paraId="1AB6CB80" w14:textId="3F843FC2" w:rsidR="00D01CF8" w:rsidRPr="00913384" w:rsidRDefault="00EE2DCE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</w:p>
    <w:p w14:paraId="24A1A5DE" w14:textId="0604C68E" w:rsidR="00FF603F" w:rsidRPr="00913384" w:rsidRDefault="00D01CF8" w:rsidP="007D1C7A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Que 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para cada contrato </w:t>
      </w:r>
      <w:r w:rsidR="00217E3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acredite el diseño, el suministro o instalación o puesta en marcha de equipos </w:t>
      </w:r>
      <w:r w:rsidR="006335D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para </w:t>
      </w:r>
      <w:r w:rsidR="00217E3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canales de televisión</w:t>
      </w:r>
      <w:r w:rsidR="00AB7A5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y/o de unidades móviles para transmisión remota de señal de televisión</w:t>
      </w:r>
      <w:r w:rsidR="00FF60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;</w:t>
      </w:r>
    </w:p>
    <w:p w14:paraId="46640248" w14:textId="77777777" w:rsidR="00443EFD" w:rsidRPr="00913384" w:rsidRDefault="00443EFD" w:rsidP="00443EFD">
      <w:pPr>
        <w:pStyle w:val="Prrafodelista"/>
        <w:ind w:left="14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71A9AA30" w14:textId="6EB8A89D" w:rsidR="00D01CF8" w:rsidRPr="00913384" w:rsidRDefault="00FF603F" w:rsidP="007D1C7A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Al menos uno de los contratos indubitablemente se refiera a </w:t>
      </w:r>
      <w:r w:rsidR="008844A7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la adaptación 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de </w:t>
      </w:r>
      <w:r w:rsidR="00217E3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unidades móviles para transmisión remota de señal de televisión</w:t>
      </w:r>
      <w:r w:rsidR="00D01CF8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,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D01CF8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y</w:t>
      </w:r>
    </w:p>
    <w:p w14:paraId="1773EED2" w14:textId="77777777" w:rsidR="006335D1" w:rsidRPr="00913384" w:rsidRDefault="006335D1" w:rsidP="006335D1">
      <w:pPr>
        <w:pStyle w:val="Prrafodelista"/>
        <w:ind w:left="14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14F2F897" w14:textId="56489B6A" w:rsidR="00D01CF8" w:rsidRPr="00913384" w:rsidRDefault="00D01CF8" w:rsidP="007D1C7A">
      <w:pPr>
        <w:pStyle w:val="Prrafodelista"/>
        <w:numPr>
          <w:ilvl w:val="0"/>
          <w:numId w:val="1"/>
        </w:numPr>
        <w:ind w:left="122" w:right="74" w:firstLine="20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Que cuente con Experiencia de 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60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(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sesenta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) 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meses</w:t>
      </w:r>
      <w:r w:rsidR="006E5E2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, </w:t>
      </w:r>
      <w:r w:rsidR="00DD43C4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pudiéndola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755C3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acreditar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acumulando las vigencias de los 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10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contratos que presente.</w:t>
      </w:r>
    </w:p>
    <w:p w14:paraId="483763CA" w14:textId="77777777" w:rsidR="00D01CF8" w:rsidRPr="00913384" w:rsidRDefault="00D01CF8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526ADAFC" w14:textId="4FDBBB9A" w:rsidR="00FC52CD" w:rsidRPr="00913384" w:rsidRDefault="00FC52CD" w:rsidP="00FC52CD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Se otorgarán 0.00 (cero) puntos si no se acredita la experiencia igual o mayor a 24 meses.</w:t>
      </w:r>
    </w:p>
    <w:p w14:paraId="3190E64C" w14:textId="77777777" w:rsidR="00FC52CD" w:rsidRPr="00913384" w:rsidRDefault="00FC52CD" w:rsidP="00FC52CD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7643FE7C" w14:textId="3ECC1D8A" w:rsidR="00FC52CD" w:rsidRPr="00913384" w:rsidRDefault="00FC52CD" w:rsidP="00FC52CD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otorgarán 1.50 (uno punto </w:t>
      </w:r>
      <w:r w:rsidR="008844A7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cincuenta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) puntos si la experiencia acumulada es menor a 60 (sesenta) </w:t>
      </w:r>
      <w:r w:rsidR="00FF60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meses,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pero igual o mayor a 24(veinticuatro) meses.</w:t>
      </w:r>
    </w:p>
    <w:p w14:paraId="0867C527" w14:textId="77777777" w:rsidR="00FC52CD" w:rsidRPr="00913384" w:rsidRDefault="00FC52CD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2E71BD55" w14:textId="2A3DAC2D" w:rsidR="00FF603F" w:rsidRPr="00913384" w:rsidRDefault="00D01CF8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otorgarán </w:t>
      </w:r>
      <w:r w:rsidR="009B3016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3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.00 (</w:t>
      </w:r>
      <w:r w:rsidR="009B3016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tres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) puntos al licitante que acredite 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experiencia de 60(sesenta) meses</w:t>
      </w:r>
      <w:r w:rsidR="00FF60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y que al menos un contrato indubitablemente se refiera a </w:t>
      </w:r>
      <w:r w:rsidR="009E7280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la </w:t>
      </w:r>
      <w:r w:rsidR="009E7280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integración, suministro, instalación, configuración y puesta en marcha de equipos para Unidades Móviles de Televisión en formato Full HD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  <w:r w:rsidR="00FF60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</w:p>
    <w:p w14:paraId="2E66B75E" w14:textId="77777777" w:rsidR="00FF603F" w:rsidRPr="00913384" w:rsidRDefault="00FF603F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0FFC194C" w14:textId="4477025B" w:rsidR="00D01CF8" w:rsidRPr="00913384" w:rsidRDefault="00FF603F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En caso de no presentar al menos un contrato que indubitablemente se refiera a </w:t>
      </w:r>
      <w:r w:rsidR="008844A7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la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integración, suministro, instalación, configuración y puesta en marcha de equipos para Unidades Móviles de Televisión en formato Full HD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, el puntaje máximo a otorgar será de 1.50 (uno punto </w:t>
      </w:r>
      <w:r w:rsidR="008844A7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cincuenta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) puntos aún y cuando </w:t>
      </w:r>
      <w:r w:rsidR="0093498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con los demás contratos 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acumule 60 (sesenta) meses de experiencia.</w:t>
      </w:r>
    </w:p>
    <w:p w14:paraId="55633513" w14:textId="77777777" w:rsidR="00D01CF8" w:rsidRPr="00913384" w:rsidRDefault="00D01CF8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2B1C152C" w14:textId="119DC3DB" w:rsidR="008F265D" w:rsidRPr="00913384" w:rsidRDefault="0025118A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FC52CD" w:rsidRPr="00913384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913384">
        <w:rPr>
          <w:rFonts w:asciiTheme="minorHAnsi" w:hAnsiTheme="minorHAnsi" w:cstheme="minorHAnsi"/>
          <w:sz w:val="24"/>
          <w:szCs w:val="24"/>
        </w:rPr>
        <w:t xml:space="preserve"> 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Para acreditar </w:t>
      </w:r>
      <w:r w:rsidR="008F265D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ESPECIALIDAD </w:t>
      </w:r>
      <w:r w:rsidR="008F265D" w:rsidRPr="00084E93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highlight w:val="yellow"/>
          <w:lang w:val="es-MX"/>
        </w:rPr>
        <w:t>(</w:t>
      </w:r>
      <w:r w:rsidR="00386DA7" w:rsidRPr="00084E93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highlight w:val="yellow"/>
          <w:lang w:val="es-MX"/>
        </w:rPr>
        <w:t>un</w:t>
      </w:r>
      <w:r w:rsidR="008F265D" w:rsidRPr="00084E93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highlight w:val="yellow"/>
          <w:lang w:val="es-MX"/>
        </w:rPr>
        <w:t xml:space="preserve"> contrato)</w:t>
      </w:r>
      <w:r w:rsidR="008F265D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el licitante deberá presentar contratos, convenios, pedidos u ordenes de trabajo o servicio formalizados, vigentes o concluidos, los cuales deberán ser adjuntados en copia simple. </w:t>
      </w:r>
      <w:r w:rsidR="00AB372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Estos convenios o contratos podrán haber sido celebrados con entidades públicas o privadas.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Se podrán añadir los anexos técnicos o cualquier otro documento que se considere necesario para verificar que el objeto del contrato es </w:t>
      </w:r>
      <w:r w:rsidR="00B27DE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de la </w:t>
      </w:r>
      <w:r w:rsidR="00B27DE1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MISMA NATURALEZA</w:t>
      </w:r>
      <w:r w:rsidR="008F265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al objeto requerido por este Concurso. </w:t>
      </w:r>
    </w:p>
    <w:p w14:paraId="6F65149E" w14:textId="77777777" w:rsidR="008F265D" w:rsidRPr="00913384" w:rsidRDefault="008F265D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328CCAF6" w14:textId="54963D48" w:rsidR="00134FC4" w:rsidRPr="00913384" w:rsidRDefault="008F265D" w:rsidP="007D1C7A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evaluará la </w:t>
      </w:r>
      <w:r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acreditación de</w:t>
      </w:r>
      <w:r w:rsidR="00B27DE1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contratos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B27DE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en los 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que el Licitante ha prestado servicios </w:t>
      </w:r>
      <w:r w:rsidR="007D1C7A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o ejecutado </w:t>
      </w:r>
      <w:r w:rsidR="007D1C7A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PROYECTOS DE LA </w:t>
      </w:r>
      <w:r w:rsidR="00FF71E4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MISMA NATURALEZA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a los requeridos en el presente procedimiento de contratación, para estos efectos el objeto de los contratos deberá consistir en </w:t>
      </w:r>
      <w:r w:rsidR="00DD43C4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la ejecución de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integración, suministro, instalación, configuración y puesta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lastRenderedPageBreak/>
        <w:t>en marcha de equipos para Unidades Móviles de Televisión en formato Full HD</w:t>
      </w:r>
      <w:r w:rsidR="00EC665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, dentro de los cuales se hayan incluido </w:t>
      </w:r>
      <w:r w:rsidR="00AB372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para cada contrato </w:t>
      </w:r>
      <w:r w:rsidR="00EC665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por lo menos </w:t>
      </w:r>
      <w:r w:rsidR="00EC47CD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3</w:t>
      </w:r>
      <w:r w:rsidR="00EC665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de los siguientes </w:t>
      </w:r>
      <w:r w:rsidR="00DD43C4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alcances</w:t>
      </w:r>
      <w:r w:rsidR="00EC665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</w:p>
    <w:p w14:paraId="23142BF2" w14:textId="77777777" w:rsidR="00DD43C4" w:rsidRPr="00913384" w:rsidRDefault="00DD43C4" w:rsidP="007D1C7A">
      <w:pPr>
        <w:ind w:left="122"/>
        <w:jc w:val="both"/>
        <w:rPr>
          <w:rFonts w:asciiTheme="minorHAnsi" w:hAnsiTheme="minorHAnsi" w:cstheme="minorHAnsi"/>
          <w:sz w:val="24"/>
          <w:szCs w:val="24"/>
        </w:rPr>
      </w:pPr>
    </w:p>
    <w:p w14:paraId="640D370D" w14:textId="4B875D54" w:rsidR="00DD43C4" w:rsidRPr="00913384" w:rsidRDefault="00DD43C4" w:rsidP="007D1C7A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hAnsiTheme="minorHAnsi" w:cstheme="minorHAnsi"/>
          <w:sz w:val="24"/>
          <w:szCs w:val="24"/>
        </w:rPr>
        <w:t>Alcances para acreditar ESPECIALIDAD</w:t>
      </w:r>
    </w:p>
    <w:p w14:paraId="59155CC0" w14:textId="2394091E" w:rsidR="00EC665F" w:rsidRPr="00913384" w:rsidRDefault="00EC665F" w:rsidP="007D1C7A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913384" w:rsidRPr="00913384" w14:paraId="1EC454BE" w14:textId="77777777" w:rsidTr="00EC665F">
        <w:tc>
          <w:tcPr>
            <w:tcW w:w="8828" w:type="dxa"/>
          </w:tcPr>
          <w:p w14:paraId="4FE4FCD5" w14:textId="1B3474E0" w:rsidR="00EC665F" w:rsidRPr="00913384" w:rsidRDefault="00DD43C4" w:rsidP="00AB372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13384">
              <w:rPr>
                <w:rFonts w:asciiTheme="minorHAnsi" w:hAnsiTheme="minorHAnsi" w:cstheme="minorHAnsi"/>
                <w:sz w:val="24"/>
                <w:szCs w:val="24"/>
              </w:rPr>
              <w:t>Suministro, instalación y puesta en operación de equipos de televisión</w:t>
            </w:r>
          </w:p>
        </w:tc>
      </w:tr>
      <w:tr w:rsidR="00913384" w:rsidRPr="00913384" w14:paraId="75CFAFC2" w14:textId="77777777" w:rsidTr="00EC665F">
        <w:tc>
          <w:tcPr>
            <w:tcW w:w="8828" w:type="dxa"/>
          </w:tcPr>
          <w:p w14:paraId="7BA14B38" w14:textId="1CA8D5AE" w:rsidR="00EC665F" w:rsidRPr="00913384" w:rsidRDefault="00EC665F" w:rsidP="00AB372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13384">
              <w:rPr>
                <w:rFonts w:asciiTheme="minorHAnsi" w:hAnsiTheme="minorHAnsi" w:cstheme="minorHAnsi"/>
                <w:sz w:val="24"/>
                <w:szCs w:val="24"/>
              </w:rPr>
              <w:t>Suministro e instala</w:t>
            </w:r>
            <w:r w:rsidR="00F87280" w:rsidRPr="00913384">
              <w:rPr>
                <w:rFonts w:asciiTheme="minorHAnsi" w:hAnsiTheme="minorHAnsi" w:cstheme="minorHAnsi"/>
                <w:sz w:val="24"/>
                <w:szCs w:val="24"/>
              </w:rPr>
              <w:t>ción de mobiliario para cabinas de producción de TV</w:t>
            </w:r>
          </w:p>
        </w:tc>
      </w:tr>
      <w:tr w:rsidR="00913384" w:rsidRPr="00913384" w14:paraId="19E97DCB" w14:textId="77777777" w:rsidTr="00EC665F">
        <w:tc>
          <w:tcPr>
            <w:tcW w:w="8828" w:type="dxa"/>
          </w:tcPr>
          <w:p w14:paraId="3B968E9A" w14:textId="3ADFFA8D" w:rsidR="00EC665F" w:rsidRPr="00913384" w:rsidRDefault="00F87280" w:rsidP="00AB372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13384">
              <w:rPr>
                <w:rFonts w:asciiTheme="minorHAnsi" w:hAnsiTheme="minorHAnsi" w:cstheme="minorHAnsi"/>
                <w:sz w:val="24"/>
                <w:szCs w:val="24"/>
              </w:rPr>
              <w:t>Adaptación de unidades móviles como cabinas de transmisión para TV</w:t>
            </w:r>
          </w:p>
        </w:tc>
      </w:tr>
      <w:tr w:rsidR="00913384" w:rsidRPr="00913384" w14:paraId="5D2E9078" w14:textId="77777777" w:rsidTr="00EC665F">
        <w:tc>
          <w:tcPr>
            <w:tcW w:w="8828" w:type="dxa"/>
          </w:tcPr>
          <w:p w14:paraId="38883A3A" w14:textId="676CF1E7" w:rsidR="00A73E17" w:rsidRPr="00913384" w:rsidRDefault="00A73E17" w:rsidP="00AB372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13384">
              <w:rPr>
                <w:rFonts w:asciiTheme="minorHAnsi" w:hAnsiTheme="minorHAnsi" w:cstheme="minorHAnsi"/>
                <w:sz w:val="24"/>
                <w:szCs w:val="24"/>
              </w:rPr>
              <w:t xml:space="preserve">Suministro o equipamiento </w:t>
            </w:r>
            <w:r w:rsidR="0055554F">
              <w:rPr>
                <w:rFonts w:asciiTheme="minorHAnsi" w:hAnsiTheme="minorHAnsi" w:cstheme="minorHAnsi"/>
                <w:sz w:val="24"/>
                <w:szCs w:val="24"/>
              </w:rPr>
              <w:t>de</w:t>
            </w:r>
            <w:r w:rsidRPr="00913384">
              <w:rPr>
                <w:rFonts w:asciiTheme="minorHAnsi" w:hAnsiTheme="minorHAnsi" w:cstheme="minorHAnsi"/>
                <w:sz w:val="24"/>
                <w:szCs w:val="24"/>
              </w:rPr>
              <w:t xml:space="preserve"> unidades móviles</w:t>
            </w:r>
            <w:r w:rsidR="0055554F">
              <w:rPr>
                <w:rFonts w:asciiTheme="minorHAnsi" w:hAnsiTheme="minorHAnsi" w:cstheme="minorHAnsi"/>
                <w:sz w:val="24"/>
                <w:szCs w:val="24"/>
              </w:rPr>
              <w:t xml:space="preserve"> de TV</w:t>
            </w:r>
            <w:r w:rsidR="00084E93">
              <w:rPr>
                <w:rFonts w:asciiTheme="minorHAnsi" w:hAnsiTheme="minorHAnsi" w:cstheme="minorHAnsi"/>
                <w:sz w:val="24"/>
                <w:szCs w:val="24"/>
              </w:rPr>
              <w:t xml:space="preserve"> o </w:t>
            </w:r>
            <w:r w:rsidRPr="00913384">
              <w:rPr>
                <w:rFonts w:asciiTheme="minorHAnsi" w:hAnsiTheme="minorHAnsi" w:cstheme="minorHAnsi"/>
                <w:sz w:val="24"/>
                <w:szCs w:val="24"/>
              </w:rPr>
              <w:t>cabinas de producción de TV</w:t>
            </w:r>
          </w:p>
        </w:tc>
      </w:tr>
      <w:tr w:rsidR="00EC47CD" w:rsidRPr="00913384" w14:paraId="43E2AD12" w14:textId="77777777" w:rsidTr="00EC665F">
        <w:tc>
          <w:tcPr>
            <w:tcW w:w="8828" w:type="dxa"/>
          </w:tcPr>
          <w:p w14:paraId="061A8EBD" w14:textId="784DB147" w:rsidR="00EC47CD" w:rsidRPr="00913384" w:rsidRDefault="00AB372D" w:rsidP="00AB372D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13384">
              <w:rPr>
                <w:rFonts w:asciiTheme="minorHAnsi" w:hAnsiTheme="minorHAnsi" w:cstheme="minorHAnsi"/>
                <w:sz w:val="24"/>
                <w:szCs w:val="24"/>
              </w:rPr>
              <w:t>Cableado eléctrico para unidades móviles</w:t>
            </w:r>
            <w:r w:rsidR="006335D1" w:rsidRPr="00913384">
              <w:rPr>
                <w:rFonts w:asciiTheme="minorHAnsi" w:hAnsiTheme="minorHAnsi" w:cstheme="minorHAnsi"/>
                <w:sz w:val="24"/>
                <w:szCs w:val="24"/>
              </w:rPr>
              <w:t xml:space="preserve"> para transmisión remota de señal de TV</w:t>
            </w:r>
          </w:p>
        </w:tc>
      </w:tr>
    </w:tbl>
    <w:p w14:paraId="012E95CD" w14:textId="7E216967" w:rsidR="00EC665F" w:rsidRPr="00913384" w:rsidRDefault="00EC665F" w:rsidP="007D1C7A">
      <w:pPr>
        <w:ind w:left="122"/>
        <w:jc w:val="both"/>
        <w:rPr>
          <w:rFonts w:asciiTheme="minorHAnsi" w:hAnsiTheme="minorHAnsi" w:cstheme="minorHAnsi"/>
          <w:sz w:val="24"/>
          <w:szCs w:val="24"/>
        </w:rPr>
      </w:pPr>
    </w:p>
    <w:p w14:paraId="48A9AB8D" w14:textId="0A27E5EE" w:rsidR="006C1A90" w:rsidRPr="00913384" w:rsidRDefault="0025118A" w:rsidP="006C1A90">
      <w:pPr>
        <w:ind w:left="122"/>
        <w:jc w:val="both"/>
        <w:rPr>
          <w:rFonts w:asciiTheme="minorHAnsi" w:hAnsiTheme="minorHAnsi" w:cstheme="minorHAnsi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Para </w:t>
      </w:r>
      <w:r w:rsidR="00BB2B9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obtener el puntaje máximo en el rubro de </w:t>
      </w:r>
      <w:r w:rsidR="00873265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ESPECIALIDAD, </w:t>
      </w:r>
      <w:r w:rsidR="00386DA7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el contrato que se presente </w:t>
      </w:r>
      <w:r w:rsidR="00FF60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indubitablemente se deber</w:t>
      </w:r>
      <w:r w:rsidR="00BB2B9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á referir a</w:t>
      </w:r>
      <w:r w:rsidR="008844A7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la</w:t>
      </w:r>
      <w:r w:rsidR="00BB2B9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integración, suministro, instalación, configuración y puesta en marcha de equipos para Unidades Móviles de Televisión en formato Full </w:t>
      </w:r>
      <w:r w:rsidR="00A96085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HD.</w:t>
      </w:r>
    </w:p>
    <w:p w14:paraId="43D25C4F" w14:textId="782C24ED" w:rsidR="0025118A" w:rsidRPr="00913384" w:rsidRDefault="0025118A" w:rsidP="007D1C7A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1F9DE856" w14:textId="101FBC88" w:rsidR="0025118A" w:rsidRPr="00913384" w:rsidRDefault="0025118A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Se otorgarán 0.00 (cero) puntos si presenta un contrato o no presenta contratos que cumplan con los requisitos de ESPECIALIDAD solicitados.</w:t>
      </w:r>
    </w:p>
    <w:p w14:paraId="73DBD53E" w14:textId="5390AAE7" w:rsidR="00FC52CD" w:rsidRPr="00913384" w:rsidRDefault="00FC52CD" w:rsidP="007D1C7A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4955CEE7" w14:textId="472D274E" w:rsidR="00FC52CD" w:rsidRPr="00913384" w:rsidRDefault="00FC52CD" w:rsidP="00FC52CD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otorgarán </w:t>
      </w:r>
      <w:r w:rsidR="00A259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4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  <w:r w:rsidR="00A259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5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0 (</w:t>
      </w:r>
      <w:proofErr w:type="gramStart"/>
      <w:r w:rsidR="00A259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cuatro punto</w:t>
      </w:r>
      <w:proofErr w:type="gramEnd"/>
      <w:r w:rsidR="00A2593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cincuenta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) puntos al licitante que acredite </w:t>
      </w:r>
      <w:r w:rsidR="0062454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1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(</w:t>
      </w:r>
      <w:r w:rsidR="0062454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un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) contrato que cumpla con los requisitos de ESPECIALIDAD solicitados</w:t>
      </w:r>
      <w:r w:rsidR="00BB2B9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y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el</w:t>
      </w:r>
      <w:r w:rsidR="00BB2B92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contrato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que se presente</w:t>
      </w:r>
      <w:r w:rsidR="00BB2B92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indubitablemente se refiera a </w:t>
      </w:r>
      <w:r w:rsidR="00FE7D63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la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integración, suministro, instalación, configuración y puesta en marcha de equipos para Unidades Móviles de Televisión en formato Full HD</w:t>
      </w:r>
      <w:r w:rsidR="00BB2B9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</w:p>
    <w:p w14:paraId="63EE5593" w14:textId="67D3F9AB" w:rsidR="00FC52CD" w:rsidRPr="00913384" w:rsidRDefault="00FC52CD" w:rsidP="007D1C7A">
      <w:pPr>
        <w:ind w:left="122"/>
        <w:jc w:val="both"/>
        <w:rPr>
          <w:rFonts w:asciiTheme="minorHAnsi" w:hAnsiTheme="minorHAnsi" w:cstheme="minorHAnsi"/>
          <w:sz w:val="24"/>
          <w:szCs w:val="24"/>
          <w:lang w:val="es-MX"/>
        </w:rPr>
      </w:pPr>
    </w:p>
    <w:p w14:paraId="3862BCFB" w14:textId="77777777" w:rsidR="006C1A90" w:rsidRPr="00913384" w:rsidRDefault="006C1A90" w:rsidP="007D1C7A">
      <w:pPr>
        <w:ind w:left="122"/>
        <w:jc w:val="both"/>
        <w:rPr>
          <w:rFonts w:asciiTheme="minorHAnsi" w:hAnsiTheme="minorHAnsi" w:cstheme="minorHAnsi"/>
          <w:sz w:val="24"/>
          <w:szCs w:val="24"/>
          <w:lang w:val="es-MX"/>
        </w:rPr>
      </w:pPr>
    </w:p>
    <w:p w14:paraId="1600DB22" w14:textId="12CD3B58" w:rsidR="00506098" w:rsidRPr="00913384" w:rsidRDefault="00506098" w:rsidP="00DD43C4">
      <w:pPr>
        <w:ind w:left="125" w:right="4"/>
        <w:jc w:val="both"/>
        <w:rPr>
          <w:rFonts w:asciiTheme="minorHAnsi" w:eastAsia="Arial Narrow" w:hAnsiTheme="minorHAnsi" w:cstheme="minorHAnsi"/>
          <w:b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b/>
          <w:spacing w:val="1"/>
          <w:sz w:val="24"/>
          <w:szCs w:val="24"/>
          <w:lang w:val="es-MX"/>
        </w:rPr>
        <w:t>RUBRO: CUMPLIMIENTO DE CONTRATOS</w:t>
      </w:r>
    </w:p>
    <w:p w14:paraId="3FC91D4A" w14:textId="48B3D12D" w:rsidR="00506098" w:rsidRPr="00913384" w:rsidRDefault="00506098" w:rsidP="00DD43C4">
      <w:pPr>
        <w:ind w:left="125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br/>
        <w:t xml:space="preserve">Los contratos para acreditar cumplimiento </w:t>
      </w:r>
      <w:r w:rsidR="00BB2B92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deberán 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ser los mismos con los que acredite Experiencia y/o Especialidad</w:t>
      </w:r>
      <w:r w:rsidR="0097767C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, para lo cual deberá 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adjunt</w:t>
      </w:r>
      <w:r w:rsidR="0097767C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ar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los documentos con los que indubitablemente se acredite la extinción de obligaciones. En este caso no será necesario que agregue dos copias del mismo contrato.</w:t>
      </w:r>
    </w:p>
    <w:p w14:paraId="2044442A" w14:textId="75F7D486" w:rsidR="00BB2B92" w:rsidRPr="00913384" w:rsidRDefault="00BB2B92" w:rsidP="00DD43C4">
      <w:pPr>
        <w:ind w:left="125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4D6329CD" w14:textId="31E07DD3" w:rsidR="00BB2B92" w:rsidRPr="00913384" w:rsidRDefault="00BB2B92" w:rsidP="00DD43C4">
      <w:pPr>
        <w:ind w:left="125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deberá acreditar el cumplimiento de al menos </w:t>
      </w:r>
      <w:r w:rsidR="00755C3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3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(</w:t>
      </w:r>
      <w:r w:rsidR="00755C3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tres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) de los contratos de Experiencia y/o Especialidad que presente.</w:t>
      </w:r>
    </w:p>
    <w:p w14:paraId="0ECE1492" w14:textId="77777777" w:rsidR="00BB2B92" w:rsidRPr="00913384" w:rsidRDefault="00BB2B92" w:rsidP="00DD43C4">
      <w:pPr>
        <w:ind w:left="125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00B06A20" w14:textId="06844BDD" w:rsidR="00BB2B92" w:rsidRPr="00913384" w:rsidRDefault="00BB2B92" w:rsidP="00DD43C4">
      <w:pPr>
        <w:ind w:left="125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El puntaje máximo por otorgar para el presente rubro será de </w:t>
      </w:r>
      <w:r w:rsidR="00D42768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7.50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(</w:t>
      </w:r>
      <w:proofErr w:type="gramStart"/>
      <w:r w:rsidR="00D42768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siete punto</w:t>
      </w:r>
      <w:proofErr w:type="gramEnd"/>
      <w:r w:rsidR="00D42768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cincuenta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) puntos. Para obtener la calificación máxima, se deberá acreditar que al menos uno de los contratos se refiera al cumplimiento de obligaciones </w:t>
      </w:r>
      <w:r w:rsidR="00E618BE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cuyo objeto haya sido la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integración,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lastRenderedPageBreak/>
        <w:t>suministro, instalación, configuración y puesta en marcha de equipos para Unidades Móviles de Televisión en formato Full HD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</w:p>
    <w:p w14:paraId="6D6B6D62" w14:textId="4D5042CF" w:rsidR="00E618BE" w:rsidRPr="00913384" w:rsidRDefault="00E618BE" w:rsidP="00DD43C4">
      <w:pPr>
        <w:ind w:left="125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38EF200C" w14:textId="5E0D674D" w:rsidR="00E618BE" w:rsidRPr="00913384" w:rsidRDefault="00E618BE" w:rsidP="00E618BE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otorgarán 0.00 (cero) puntos si no </w:t>
      </w:r>
      <w:r w:rsidR="00755C31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acredita el cumplimiento de obligaciones.</w:t>
      </w:r>
    </w:p>
    <w:p w14:paraId="48AD3F9B" w14:textId="77777777" w:rsidR="00E618BE" w:rsidRPr="00913384" w:rsidRDefault="00E618BE" w:rsidP="00E618BE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1C0ADA19" w14:textId="2FC0628C" w:rsidR="006C1A90" w:rsidRPr="00913384" w:rsidRDefault="006C1A90" w:rsidP="006C1A90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Se otorgarán </w:t>
      </w:r>
      <w:r w:rsidR="00433D5C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7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  <w:r w:rsidR="00433D5C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5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0</w:t>
      </w:r>
      <w:r w:rsidR="00D42768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(</w:t>
      </w:r>
      <w:proofErr w:type="gramStart"/>
      <w:r w:rsidR="00433D5C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siete punto</w:t>
      </w:r>
      <w:proofErr w:type="gramEnd"/>
      <w:r w:rsidR="00433D5C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cincuenta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) puntos si acredita el cumplimiento de</w:t>
      </w:r>
      <w:r w:rsidR="0062454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los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62454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3 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(tres) contrato</w:t>
      </w:r>
      <w:r w:rsidR="00D731CF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s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="00433D5C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y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</w:t>
      </w:r>
      <w:r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al menos uno </w:t>
      </w:r>
      <w:r w:rsidR="00433D5C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se</w:t>
      </w:r>
      <w:r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 referirse a la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integración, suministro, instalación, configuración y puesta en marcha de equipos para Unidades Móviles de Televisión en formato Full HD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</w:p>
    <w:p w14:paraId="2C6439D1" w14:textId="77777777" w:rsidR="006C1A90" w:rsidRPr="00913384" w:rsidRDefault="006C1A90" w:rsidP="00E618BE">
      <w:pPr>
        <w:ind w:left="122" w:right="74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3C4DF846" w14:textId="680D0743" w:rsidR="00506098" w:rsidRPr="00913384" w:rsidRDefault="00506098" w:rsidP="007D1C7A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Para acreditar el cumplimiento de contratos, el licitante deberá adjuntar:</w:t>
      </w:r>
    </w:p>
    <w:p w14:paraId="43195EF7" w14:textId="77777777" w:rsidR="00506098" w:rsidRPr="00913384" w:rsidRDefault="00506098" w:rsidP="00506098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3654A5B1" w14:textId="7573BF98" w:rsidR="00506098" w:rsidRPr="00913384" w:rsidRDefault="00506098" w:rsidP="00506098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a) Copia de contratos cumplidos los que deberán tener objeto al de la presente licitación (</w:t>
      </w:r>
      <w:r w:rsidR="002920C9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 xml:space="preserve">ejecución de proyectos de diseño, suministro o instalación o puesta en marcha de equipos para canales de televisión y/o </w:t>
      </w:r>
      <w:r w:rsidR="0062454F" w:rsidRPr="00913384">
        <w:rPr>
          <w:rFonts w:asciiTheme="minorHAnsi" w:eastAsia="Arial Narrow" w:hAnsiTheme="minorHAnsi" w:cstheme="minorHAnsi"/>
          <w:b/>
          <w:bCs/>
          <w:spacing w:val="1"/>
          <w:sz w:val="24"/>
          <w:szCs w:val="24"/>
          <w:lang w:val="es-MX"/>
        </w:rPr>
        <w:t>integración, suministro, instalación, configuración y puesta en marcha de equipos para Unidades Móviles de Televisión en formato Full HD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).</w:t>
      </w:r>
    </w:p>
    <w:p w14:paraId="11962760" w14:textId="56DC7446" w:rsidR="00506098" w:rsidRPr="00913384" w:rsidRDefault="00506098" w:rsidP="00506098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br/>
        <w:t>b) Comprobantes de extinción de obligaciones, por ejemplo: acta de entrega recepción, finiquitos, liberación de fianza, comprobantes con los que se acredite el pago total del contrato o cualquier otro documento oficial mediante el que acredite indubitablemente que las obligaciones quedaron extintas en tiempo y forma.</w:t>
      </w:r>
    </w:p>
    <w:p w14:paraId="62658096" w14:textId="6B02EE8E" w:rsidR="00506098" w:rsidRPr="00913384" w:rsidRDefault="00506098" w:rsidP="00506098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</w:p>
    <w:p w14:paraId="6A86A549" w14:textId="5C0E7535" w:rsidR="00506098" w:rsidRPr="00913384" w:rsidRDefault="00506098" w:rsidP="00506098">
      <w:pPr>
        <w:ind w:left="122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</w:pP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c) Los contratos con los que acredite este rubro deberán ser de PROYECTOS SIMILARES o de PROYECTOS DE LA MISMA NATURALEZA, según </w:t>
      </w:r>
      <w:r w:rsidR="00873265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la descripción</w:t>
      </w:r>
      <w:r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 xml:space="preserve"> que al respecto se hace para el Rubro de Experiencia y Especialidad</w:t>
      </w:r>
      <w:r w:rsidR="002F62C5" w:rsidRPr="00913384">
        <w:rPr>
          <w:rFonts w:asciiTheme="minorHAnsi" w:eastAsia="Arial Narrow" w:hAnsiTheme="minorHAnsi" w:cstheme="minorHAnsi"/>
          <w:spacing w:val="1"/>
          <w:sz w:val="24"/>
          <w:szCs w:val="24"/>
          <w:lang w:val="es-MX"/>
        </w:rPr>
        <w:t>.</w:t>
      </w:r>
    </w:p>
    <w:sectPr w:rsidR="00506098" w:rsidRPr="0091338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B3512" w14:textId="77777777" w:rsidR="002524DC" w:rsidRDefault="002524DC" w:rsidP="00506098">
      <w:r>
        <w:separator/>
      </w:r>
    </w:p>
  </w:endnote>
  <w:endnote w:type="continuationSeparator" w:id="0">
    <w:p w14:paraId="0B1D670E" w14:textId="77777777" w:rsidR="002524DC" w:rsidRDefault="002524DC" w:rsidP="00506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65E48D" w14:textId="77777777" w:rsidR="002524DC" w:rsidRDefault="002524DC" w:rsidP="00506098">
      <w:r>
        <w:separator/>
      </w:r>
    </w:p>
  </w:footnote>
  <w:footnote w:type="continuationSeparator" w:id="0">
    <w:p w14:paraId="080075DE" w14:textId="77777777" w:rsidR="002524DC" w:rsidRDefault="002524DC" w:rsidP="00506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56311241"/>
  <w:bookmarkStart w:id="2" w:name="_Hlk56311242"/>
  <w:bookmarkStart w:id="3" w:name="_Hlk56311364"/>
  <w:bookmarkStart w:id="4" w:name="_Hlk56311365"/>
  <w:p w14:paraId="432D4F4B" w14:textId="77777777" w:rsidR="00EC03E0" w:rsidRPr="00864585" w:rsidRDefault="00EC03E0" w:rsidP="00EC03E0">
    <w:pPr>
      <w:pStyle w:val="Encabezado"/>
      <w:jc w:val="center"/>
      <w:rPr>
        <w:rFonts w:ascii="Helvetica" w:hAnsi="Helvetica" w:cstheme="minorHAnsi"/>
      </w:rPr>
    </w:pPr>
    <w:r w:rsidRPr="00864585">
      <w:rPr>
        <w:rFonts w:ascii="Helvetica" w:hAnsi="Helvetica" w:cstheme="minorHAnsi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74F17D" wp14:editId="45613F3F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139BE9FC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864585">
      <w:rPr>
        <w:rFonts w:ascii="Helvetica" w:hAnsi="Helvetica" w:cstheme="minorHAnsi"/>
      </w:rPr>
      <w:t>Universidad Autónoma del Estado de Hidalgo</w:t>
    </w:r>
  </w:p>
  <w:p w14:paraId="3C47CA89" w14:textId="77777777" w:rsidR="00EC03E0" w:rsidRPr="00864585" w:rsidRDefault="00EC03E0" w:rsidP="00EC03E0">
    <w:pPr>
      <w:pStyle w:val="Encabezado"/>
      <w:jc w:val="center"/>
      <w:rPr>
        <w:rFonts w:ascii="Helvetica" w:hAnsi="Helvetica" w:cstheme="minorHAnsi"/>
      </w:rPr>
    </w:pPr>
  </w:p>
  <w:bookmarkEnd w:id="1"/>
  <w:bookmarkEnd w:id="2"/>
  <w:bookmarkEnd w:id="3"/>
  <w:bookmarkEnd w:id="4"/>
  <w:p w14:paraId="03119778" w14:textId="77777777" w:rsidR="00993F10" w:rsidRPr="00864585" w:rsidRDefault="00993F10" w:rsidP="00993F10">
    <w:pPr>
      <w:jc w:val="center"/>
      <w:rPr>
        <w:rFonts w:ascii="Helvetica" w:hAnsi="Helvetica" w:cstheme="minorHAnsi"/>
        <w:lang w:val="es-MX" w:eastAsia="en-US"/>
      </w:rPr>
    </w:pPr>
    <w:r w:rsidRPr="00864585">
      <w:rPr>
        <w:rFonts w:ascii="Helvetica" w:hAnsi="Helvetica" w:cstheme="minorHAnsi"/>
        <w:lang w:val="es-MX"/>
      </w:rPr>
      <w:t>Adquisición de los equipos necesarios para operar una Unidad Móvil de Televisión en formato Full HD, para el Sistema Universitario de Medios Autónomos</w:t>
    </w:r>
  </w:p>
  <w:p w14:paraId="625585D6" w14:textId="77777777" w:rsidR="00506098" w:rsidRPr="00993F10" w:rsidRDefault="00506098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A3D2E"/>
    <w:multiLevelType w:val="hybridMultilevel"/>
    <w:tmpl w:val="7ADCB36A"/>
    <w:lvl w:ilvl="0" w:tplc="930A932E">
      <w:start w:val="1"/>
      <w:numFmt w:val="decimal"/>
      <w:lvlText w:val="%1."/>
      <w:lvlJc w:val="left"/>
      <w:pPr>
        <w:ind w:left="482" w:hanging="360"/>
      </w:pPr>
      <w:rPr>
        <w:rFonts w:ascii="Arial Narrow" w:eastAsia="Arial Narrow" w:hAnsi="Arial Narrow" w:cs="Arial Narrow"/>
      </w:rPr>
    </w:lvl>
    <w:lvl w:ilvl="1" w:tplc="080A000F">
      <w:start w:val="1"/>
      <w:numFmt w:val="decimal"/>
      <w:lvlText w:val="%2."/>
      <w:lvlJc w:val="left"/>
      <w:pPr>
        <w:ind w:left="1202" w:hanging="360"/>
      </w:pPr>
    </w:lvl>
    <w:lvl w:ilvl="2" w:tplc="080A001B">
      <w:start w:val="1"/>
      <w:numFmt w:val="lowerRoman"/>
      <w:lvlText w:val="%3."/>
      <w:lvlJc w:val="right"/>
      <w:pPr>
        <w:ind w:left="1922" w:hanging="180"/>
      </w:pPr>
    </w:lvl>
    <w:lvl w:ilvl="3" w:tplc="080A000F">
      <w:start w:val="1"/>
      <w:numFmt w:val="decimal"/>
      <w:lvlText w:val="%4."/>
      <w:lvlJc w:val="left"/>
      <w:pPr>
        <w:ind w:left="2642" w:hanging="360"/>
      </w:pPr>
    </w:lvl>
    <w:lvl w:ilvl="4" w:tplc="080A0019">
      <w:start w:val="1"/>
      <w:numFmt w:val="lowerLetter"/>
      <w:lvlText w:val="%5."/>
      <w:lvlJc w:val="left"/>
      <w:pPr>
        <w:ind w:left="3362" w:hanging="360"/>
      </w:pPr>
    </w:lvl>
    <w:lvl w:ilvl="5" w:tplc="080A001B">
      <w:start w:val="1"/>
      <w:numFmt w:val="lowerRoman"/>
      <w:lvlText w:val="%6."/>
      <w:lvlJc w:val="right"/>
      <w:pPr>
        <w:ind w:left="4082" w:hanging="180"/>
      </w:pPr>
    </w:lvl>
    <w:lvl w:ilvl="6" w:tplc="080A000F">
      <w:start w:val="1"/>
      <w:numFmt w:val="decimal"/>
      <w:lvlText w:val="%7."/>
      <w:lvlJc w:val="left"/>
      <w:pPr>
        <w:ind w:left="4802" w:hanging="360"/>
      </w:pPr>
    </w:lvl>
    <w:lvl w:ilvl="7" w:tplc="080A0019">
      <w:start w:val="1"/>
      <w:numFmt w:val="lowerLetter"/>
      <w:lvlText w:val="%8."/>
      <w:lvlJc w:val="left"/>
      <w:pPr>
        <w:ind w:left="5522" w:hanging="360"/>
      </w:pPr>
    </w:lvl>
    <w:lvl w:ilvl="8" w:tplc="080A001B">
      <w:start w:val="1"/>
      <w:numFmt w:val="lowerRoman"/>
      <w:lvlText w:val="%9."/>
      <w:lvlJc w:val="right"/>
      <w:pPr>
        <w:ind w:left="6242" w:hanging="180"/>
      </w:pPr>
    </w:lvl>
  </w:abstractNum>
  <w:abstractNum w:abstractNumId="1" w15:restartNumberingAfterBreak="0">
    <w:nsid w:val="117161AF"/>
    <w:multiLevelType w:val="hybridMultilevel"/>
    <w:tmpl w:val="8DE62140"/>
    <w:lvl w:ilvl="0" w:tplc="5D5ABC78">
      <w:numFmt w:val="bullet"/>
      <w:lvlText w:val="•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70F7D"/>
    <w:multiLevelType w:val="hybridMultilevel"/>
    <w:tmpl w:val="1A48B9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C79FD"/>
    <w:multiLevelType w:val="hybridMultilevel"/>
    <w:tmpl w:val="CDB2CEEE"/>
    <w:lvl w:ilvl="0" w:tplc="13DADF16">
      <w:start w:val="1"/>
      <w:numFmt w:val="decimal"/>
      <w:lvlText w:val="%1."/>
      <w:lvlJc w:val="left"/>
      <w:pPr>
        <w:ind w:left="48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2" w:hanging="360"/>
      </w:pPr>
    </w:lvl>
    <w:lvl w:ilvl="2" w:tplc="080A001B" w:tentative="1">
      <w:start w:val="1"/>
      <w:numFmt w:val="lowerRoman"/>
      <w:lvlText w:val="%3."/>
      <w:lvlJc w:val="right"/>
      <w:pPr>
        <w:ind w:left="1922" w:hanging="180"/>
      </w:pPr>
    </w:lvl>
    <w:lvl w:ilvl="3" w:tplc="080A000F" w:tentative="1">
      <w:start w:val="1"/>
      <w:numFmt w:val="decimal"/>
      <w:lvlText w:val="%4."/>
      <w:lvlJc w:val="left"/>
      <w:pPr>
        <w:ind w:left="2642" w:hanging="360"/>
      </w:pPr>
    </w:lvl>
    <w:lvl w:ilvl="4" w:tplc="080A0019" w:tentative="1">
      <w:start w:val="1"/>
      <w:numFmt w:val="lowerLetter"/>
      <w:lvlText w:val="%5."/>
      <w:lvlJc w:val="left"/>
      <w:pPr>
        <w:ind w:left="3362" w:hanging="360"/>
      </w:pPr>
    </w:lvl>
    <w:lvl w:ilvl="5" w:tplc="080A001B" w:tentative="1">
      <w:start w:val="1"/>
      <w:numFmt w:val="lowerRoman"/>
      <w:lvlText w:val="%6."/>
      <w:lvlJc w:val="right"/>
      <w:pPr>
        <w:ind w:left="4082" w:hanging="180"/>
      </w:pPr>
    </w:lvl>
    <w:lvl w:ilvl="6" w:tplc="080A000F" w:tentative="1">
      <w:start w:val="1"/>
      <w:numFmt w:val="decimal"/>
      <w:lvlText w:val="%7."/>
      <w:lvlJc w:val="left"/>
      <w:pPr>
        <w:ind w:left="4802" w:hanging="360"/>
      </w:pPr>
    </w:lvl>
    <w:lvl w:ilvl="7" w:tplc="080A0019" w:tentative="1">
      <w:start w:val="1"/>
      <w:numFmt w:val="lowerLetter"/>
      <w:lvlText w:val="%8."/>
      <w:lvlJc w:val="left"/>
      <w:pPr>
        <w:ind w:left="5522" w:hanging="360"/>
      </w:pPr>
    </w:lvl>
    <w:lvl w:ilvl="8" w:tplc="080A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4" w15:restartNumberingAfterBreak="0">
    <w:nsid w:val="76403834"/>
    <w:multiLevelType w:val="hybridMultilevel"/>
    <w:tmpl w:val="C2AA9B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CF8"/>
    <w:rsid w:val="000016C2"/>
    <w:rsid w:val="00005724"/>
    <w:rsid w:val="00014735"/>
    <w:rsid w:val="00014785"/>
    <w:rsid w:val="00020396"/>
    <w:rsid w:val="00024A47"/>
    <w:rsid w:val="00025F6A"/>
    <w:rsid w:val="00044700"/>
    <w:rsid w:val="00045D98"/>
    <w:rsid w:val="00052038"/>
    <w:rsid w:val="0005746B"/>
    <w:rsid w:val="0006474D"/>
    <w:rsid w:val="00065174"/>
    <w:rsid w:val="00065B4D"/>
    <w:rsid w:val="00074352"/>
    <w:rsid w:val="00084B2C"/>
    <w:rsid w:val="00084E93"/>
    <w:rsid w:val="000A303D"/>
    <w:rsid w:val="000B484C"/>
    <w:rsid w:val="000D2BFA"/>
    <w:rsid w:val="000D4BBD"/>
    <w:rsid w:val="00107C0D"/>
    <w:rsid w:val="001208AC"/>
    <w:rsid w:val="00133EE0"/>
    <w:rsid w:val="00134FC4"/>
    <w:rsid w:val="00136A61"/>
    <w:rsid w:val="001473D9"/>
    <w:rsid w:val="00162CDD"/>
    <w:rsid w:val="0016452F"/>
    <w:rsid w:val="0017259F"/>
    <w:rsid w:val="001947AC"/>
    <w:rsid w:val="00194EBC"/>
    <w:rsid w:val="001B0154"/>
    <w:rsid w:val="001C3961"/>
    <w:rsid w:val="001C704B"/>
    <w:rsid w:val="001C7805"/>
    <w:rsid w:val="001D1E29"/>
    <w:rsid w:val="001D6AB1"/>
    <w:rsid w:val="001E0694"/>
    <w:rsid w:val="001E5A4C"/>
    <w:rsid w:val="00201C04"/>
    <w:rsid w:val="002134C6"/>
    <w:rsid w:val="00217E32"/>
    <w:rsid w:val="0022408B"/>
    <w:rsid w:val="00225768"/>
    <w:rsid w:val="0023013D"/>
    <w:rsid w:val="00233697"/>
    <w:rsid w:val="002373CA"/>
    <w:rsid w:val="0024307D"/>
    <w:rsid w:val="0025118A"/>
    <w:rsid w:val="002524DC"/>
    <w:rsid w:val="00252A91"/>
    <w:rsid w:val="0027193F"/>
    <w:rsid w:val="00272551"/>
    <w:rsid w:val="00281AC4"/>
    <w:rsid w:val="00284667"/>
    <w:rsid w:val="002920C9"/>
    <w:rsid w:val="002B5EDA"/>
    <w:rsid w:val="002B77EA"/>
    <w:rsid w:val="002E0DA1"/>
    <w:rsid w:val="002E160D"/>
    <w:rsid w:val="002E2150"/>
    <w:rsid w:val="002F4EDB"/>
    <w:rsid w:val="002F62C5"/>
    <w:rsid w:val="00307B0C"/>
    <w:rsid w:val="00310B17"/>
    <w:rsid w:val="00313764"/>
    <w:rsid w:val="00313C80"/>
    <w:rsid w:val="003241E6"/>
    <w:rsid w:val="00331966"/>
    <w:rsid w:val="0033560F"/>
    <w:rsid w:val="00342DF2"/>
    <w:rsid w:val="0035151C"/>
    <w:rsid w:val="003526E3"/>
    <w:rsid w:val="003567CD"/>
    <w:rsid w:val="00361B22"/>
    <w:rsid w:val="00367C36"/>
    <w:rsid w:val="003725E6"/>
    <w:rsid w:val="00385C53"/>
    <w:rsid w:val="00386DA7"/>
    <w:rsid w:val="00392BC4"/>
    <w:rsid w:val="003A1233"/>
    <w:rsid w:val="003A71A0"/>
    <w:rsid w:val="003F00CC"/>
    <w:rsid w:val="003F0849"/>
    <w:rsid w:val="003F6463"/>
    <w:rsid w:val="00402C74"/>
    <w:rsid w:val="00406302"/>
    <w:rsid w:val="00415081"/>
    <w:rsid w:val="00421E5E"/>
    <w:rsid w:val="00422B58"/>
    <w:rsid w:val="0042423A"/>
    <w:rsid w:val="00425311"/>
    <w:rsid w:val="00426C0F"/>
    <w:rsid w:val="00433D5C"/>
    <w:rsid w:val="00443EFD"/>
    <w:rsid w:val="0045512E"/>
    <w:rsid w:val="00465489"/>
    <w:rsid w:val="0046767F"/>
    <w:rsid w:val="0049778B"/>
    <w:rsid w:val="004B65CD"/>
    <w:rsid w:val="004C3F5D"/>
    <w:rsid w:val="004E2788"/>
    <w:rsid w:val="004F28B3"/>
    <w:rsid w:val="004F3F1F"/>
    <w:rsid w:val="005033B5"/>
    <w:rsid w:val="005040B6"/>
    <w:rsid w:val="00506098"/>
    <w:rsid w:val="00516EAB"/>
    <w:rsid w:val="00526719"/>
    <w:rsid w:val="00540707"/>
    <w:rsid w:val="00540F87"/>
    <w:rsid w:val="005506BA"/>
    <w:rsid w:val="0055554F"/>
    <w:rsid w:val="005600F8"/>
    <w:rsid w:val="00567CF5"/>
    <w:rsid w:val="00571A80"/>
    <w:rsid w:val="0057418A"/>
    <w:rsid w:val="00575F42"/>
    <w:rsid w:val="0058593D"/>
    <w:rsid w:val="005873AF"/>
    <w:rsid w:val="00590C05"/>
    <w:rsid w:val="005B4874"/>
    <w:rsid w:val="005B717C"/>
    <w:rsid w:val="005C5F2A"/>
    <w:rsid w:val="005D4C58"/>
    <w:rsid w:val="005D77FB"/>
    <w:rsid w:val="005E0E37"/>
    <w:rsid w:val="00606A9E"/>
    <w:rsid w:val="006158D9"/>
    <w:rsid w:val="0062454F"/>
    <w:rsid w:val="006246FD"/>
    <w:rsid w:val="00626D6A"/>
    <w:rsid w:val="00627B34"/>
    <w:rsid w:val="00630F5B"/>
    <w:rsid w:val="00632CF4"/>
    <w:rsid w:val="00632F28"/>
    <w:rsid w:val="006335D1"/>
    <w:rsid w:val="006437F4"/>
    <w:rsid w:val="006666A0"/>
    <w:rsid w:val="006705ED"/>
    <w:rsid w:val="006772EF"/>
    <w:rsid w:val="00683847"/>
    <w:rsid w:val="00697038"/>
    <w:rsid w:val="006A04AC"/>
    <w:rsid w:val="006B1C1B"/>
    <w:rsid w:val="006C1081"/>
    <w:rsid w:val="006C1A90"/>
    <w:rsid w:val="006C7FED"/>
    <w:rsid w:val="006D3C02"/>
    <w:rsid w:val="006E4AD3"/>
    <w:rsid w:val="006E5E21"/>
    <w:rsid w:val="006F429A"/>
    <w:rsid w:val="007055F9"/>
    <w:rsid w:val="0070724B"/>
    <w:rsid w:val="00715A26"/>
    <w:rsid w:val="00724C99"/>
    <w:rsid w:val="00725551"/>
    <w:rsid w:val="00733FB1"/>
    <w:rsid w:val="00735CEE"/>
    <w:rsid w:val="00753130"/>
    <w:rsid w:val="00754719"/>
    <w:rsid w:val="007549FA"/>
    <w:rsid w:val="00755C31"/>
    <w:rsid w:val="00760416"/>
    <w:rsid w:val="00761357"/>
    <w:rsid w:val="00772288"/>
    <w:rsid w:val="0077510F"/>
    <w:rsid w:val="0077639A"/>
    <w:rsid w:val="00795DB9"/>
    <w:rsid w:val="00797784"/>
    <w:rsid w:val="007A0F9B"/>
    <w:rsid w:val="007B68C2"/>
    <w:rsid w:val="007C7C9F"/>
    <w:rsid w:val="007D007B"/>
    <w:rsid w:val="007D1C7A"/>
    <w:rsid w:val="007E6D18"/>
    <w:rsid w:val="00813431"/>
    <w:rsid w:val="0081579B"/>
    <w:rsid w:val="00820E00"/>
    <w:rsid w:val="00824658"/>
    <w:rsid w:val="0085209E"/>
    <w:rsid w:val="00855AF2"/>
    <w:rsid w:val="00860EAB"/>
    <w:rsid w:val="00864585"/>
    <w:rsid w:val="00865985"/>
    <w:rsid w:val="0087015F"/>
    <w:rsid w:val="00873265"/>
    <w:rsid w:val="008770BD"/>
    <w:rsid w:val="008844A7"/>
    <w:rsid w:val="008A2400"/>
    <w:rsid w:val="008B1BE9"/>
    <w:rsid w:val="008C59F2"/>
    <w:rsid w:val="008D5601"/>
    <w:rsid w:val="008D6942"/>
    <w:rsid w:val="008E7ED9"/>
    <w:rsid w:val="008F265D"/>
    <w:rsid w:val="008F7239"/>
    <w:rsid w:val="00913384"/>
    <w:rsid w:val="00914E96"/>
    <w:rsid w:val="00915A7C"/>
    <w:rsid w:val="00920526"/>
    <w:rsid w:val="0092714F"/>
    <w:rsid w:val="00931A71"/>
    <w:rsid w:val="0093498E"/>
    <w:rsid w:val="00936301"/>
    <w:rsid w:val="00941587"/>
    <w:rsid w:val="00943627"/>
    <w:rsid w:val="00950504"/>
    <w:rsid w:val="00956070"/>
    <w:rsid w:val="009602BC"/>
    <w:rsid w:val="0097767C"/>
    <w:rsid w:val="0097770E"/>
    <w:rsid w:val="00986A14"/>
    <w:rsid w:val="00992182"/>
    <w:rsid w:val="00993F10"/>
    <w:rsid w:val="00995BD8"/>
    <w:rsid w:val="00997993"/>
    <w:rsid w:val="009B3016"/>
    <w:rsid w:val="009E7280"/>
    <w:rsid w:val="009F2E8A"/>
    <w:rsid w:val="00A01A25"/>
    <w:rsid w:val="00A2593F"/>
    <w:rsid w:val="00A3620E"/>
    <w:rsid w:val="00A43A80"/>
    <w:rsid w:val="00A46F4F"/>
    <w:rsid w:val="00A6192F"/>
    <w:rsid w:val="00A62334"/>
    <w:rsid w:val="00A73E17"/>
    <w:rsid w:val="00A81DB6"/>
    <w:rsid w:val="00A8281A"/>
    <w:rsid w:val="00A82C7C"/>
    <w:rsid w:val="00A920F8"/>
    <w:rsid w:val="00A96085"/>
    <w:rsid w:val="00AB372D"/>
    <w:rsid w:val="00AB5E93"/>
    <w:rsid w:val="00AB6B1E"/>
    <w:rsid w:val="00AB7A5E"/>
    <w:rsid w:val="00AC052F"/>
    <w:rsid w:val="00AC2113"/>
    <w:rsid w:val="00AC2608"/>
    <w:rsid w:val="00AD35BA"/>
    <w:rsid w:val="00AE1FFF"/>
    <w:rsid w:val="00AF62FD"/>
    <w:rsid w:val="00B22123"/>
    <w:rsid w:val="00B27DE1"/>
    <w:rsid w:val="00B33DAA"/>
    <w:rsid w:val="00B41CF1"/>
    <w:rsid w:val="00B43BC8"/>
    <w:rsid w:val="00B547BE"/>
    <w:rsid w:val="00B81AD7"/>
    <w:rsid w:val="00B970D5"/>
    <w:rsid w:val="00BB2B92"/>
    <w:rsid w:val="00BB2EAA"/>
    <w:rsid w:val="00BB552B"/>
    <w:rsid w:val="00BB57BB"/>
    <w:rsid w:val="00BF31F6"/>
    <w:rsid w:val="00C0099C"/>
    <w:rsid w:val="00C161A0"/>
    <w:rsid w:val="00C60115"/>
    <w:rsid w:val="00C63D08"/>
    <w:rsid w:val="00C77063"/>
    <w:rsid w:val="00C943C0"/>
    <w:rsid w:val="00C95C25"/>
    <w:rsid w:val="00CA093F"/>
    <w:rsid w:val="00CA4E6F"/>
    <w:rsid w:val="00CB24BE"/>
    <w:rsid w:val="00CC0EB6"/>
    <w:rsid w:val="00CC1DD3"/>
    <w:rsid w:val="00CE3281"/>
    <w:rsid w:val="00CE5C4B"/>
    <w:rsid w:val="00D01CF8"/>
    <w:rsid w:val="00D2078B"/>
    <w:rsid w:val="00D20D77"/>
    <w:rsid w:val="00D24A5E"/>
    <w:rsid w:val="00D35C33"/>
    <w:rsid w:val="00D401E3"/>
    <w:rsid w:val="00D42768"/>
    <w:rsid w:val="00D61F63"/>
    <w:rsid w:val="00D731CF"/>
    <w:rsid w:val="00D9532E"/>
    <w:rsid w:val="00DA10DB"/>
    <w:rsid w:val="00DB2D64"/>
    <w:rsid w:val="00DB5A1C"/>
    <w:rsid w:val="00DC2388"/>
    <w:rsid w:val="00DC3A2A"/>
    <w:rsid w:val="00DC4298"/>
    <w:rsid w:val="00DC551D"/>
    <w:rsid w:val="00DD0939"/>
    <w:rsid w:val="00DD43C4"/>
    <w:rsid w:val="00DD74C8"/>
    <w:rsid w:val="00DD7D6B"/>
    <w:rsid w:val="00DD7F75"/>
    <w:rsid w:val="00DE675E"/>
    <w:rsid w:val="00E04879"/>
    <w:rsid w:val="00E05136"/>
    <w:rsid w:val="00E10ABE"/>
    <w:rsid w:val="00E110BA"/>
    <w:rsid w:val="00E260A5"/>
    <w:rsid w:val="00E32148"/>
    <w:rsid w:val="00E358C7"/>
    <w:rsid w:val="00E4095A"/>
    <w:rsid w:val="00E40E6D"/>
    <w:rsid w:val="00E43299"/>
    <w:rsid w:val="00E46393"/>
    <w:rsid w:val="00E618BE"/>
    <w:rsid w:val="00E625B6"/>
    <w:rsid w:val="00E62667"/>
    <w:rsid w:val="00E8060E"/>
    <w:rsid w:val="00E84CE4"/>
    <w:rsid w:val="00E9637A"/>
    <w:rsid w:val="00EB2C96"/>
    <w:rsid w:val="00EC03AE"/>
    <w:rsid w:val="00EC03E0"/>
    <w:rsid w:val="00EC384D"/>
    <w:rsid w:val="00EC47CD"/>
    <w:rsid w:val="00EC665F"/>
    <w:rsid w:val="00EC7D22"/>
    <w:rsid w:val="00EE2DCE"/>
    <w:rsid w:val="00EE4DFD"/>
    <w:rsid w:val="00EE770D"/>
    <w:rsid w:val="00F023D6"/>
    <w:rsid w:val="00F02E3D"/>
    <w:rsid w:val="00F07272"/>
    <w:rsid w:val="00F53CC7"/>
    <w:rsid w:val="00F60D54"/>
    <w:rsid w:val="00F642E4"/>
    <w:rsid w:val="00F64E38"/>
    <w:rsid w:val="00F70F91"/>
    <w:rsid w:val="00F84A1E"/>
    <w:rsid w:val="00F87280"/>
    <w:rsid w:val="00F94EE5"/>
    <w:rsid w:val="00FA079C"/>
    <w:rsid w:val="00FA4581"/>
    <w:rsid w:val="00FC0323"/>
    <w:rsid w:val="00FC52CD"/>
    <w:rsid w:val="00FC59F1"/>
    <w:rsid w:val="00FC5A2C"/>
    <w:rsid w:val="00FE7D63"/>
    <w:rsid w:val="00FF4B2F"/>
    <w:rsid w:val="00FF603F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2BAD8"/>
  <w15:chartTrackingRefBased/>
  <w15:docId w15:val="{D673A9F6-05B0-40EA-82C9-B73ADCCC4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C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lp1 Car,List Paragraph1 Car,Bullet 1 Car,List Paragraph Char Char Car,b1 Car,Listas Car,List Paragraph11 Car,Use Case List Paragraph Car,lp11 Car,Bullet List Car,FooterText Car,numbered Car,Paragraphe de liste1 Car,列出段落 Car"/>
    <w:link w:val="Prrafodelista"/>
    <w:uiPriority w:val="34"/>
    <w:locked/>
    <w:rsid w:val="00D01CF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aliases w:val="lp1,List Paragraph1,Bullet 1,List Paragraph Char Char,b1,Listas,List Paragraph11,Use Case List Paragraph,lp11,Bullet List,FooterText,numbered,Paragraphe de liste1,Bulletr List Paragraph,列出段落,列出段落1,bullets2,Tablas,Dot pt,No Spacing1"/>
    <w:basedOn w:val="Normal"/>
    <w:link w:val="PrrafodelistaCar"/>
    <w:uiPriority w:val="34"/>
    <w:qFormat/>
    <w:rsid w:val="00D01CF8"/>
    <w:pPr>
      <w:ind w:left="720"/>
      <w:contextualSpacing/>
    </w:pPr>
  </w:style>
  <w:style w:type="table" w:styleId="Tablaconcuadrcula">
    <w:name w:val="Table Grid"/>
    <w:basedOn w:val="Tablanormal"/>
    <w:uiPriority w:val="39"/>
    <w:rsid w:val="00EC6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060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609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060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098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B65C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B65CD"/>
  </w:style>
  <w:style w:type="character" w:customStyle="1" w:styleId="TextocomentarioCar">
    <w:name w:val="Texto comentario Car"/>
    <w:basedOn w:val="Fuentedeprrafopredeter"/>
    <w:link w:val="Textocomentario"/>
    <w:uiPriority w:val="99"/>
    <w:rsid w:val="004B65C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65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65CD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1302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Florencia Hernandez Rodriguez</cp:lastModifiedBy>
  <cp:revision>6</cp:revision>
  <dcterms:created xsi:type="dcterms:W3CDTF">2023-10-22T00:41:00Z</dcterms:created>
  <dcterms:modified xsi:type="dcterms:W3CDTF">2023-10-24T22:16:00Z</dcterms:modified>
</cp:coreProperties>
</file>